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65918" w14:textId="77777777" w:rsidR="002E3B61" w:rsidRDefault="002E3B61" w:rsidP="00C2196F">
      <w:pPr>
        <w:spacing w:after="0" w:line="480" w:lineRule="auto"/>
        <w:jc w:val="center"/>
      </w:pPr>
    </w:p>
    <w:p w14:paraId="1EE48055" w14:textId="77777777" w:rsidR="002E3B61" w:rsidRDefault="002E3B61" w:rsidP="00C2196F">
      <w:pPr>
        <w:spacing w:after="0" w:line="480" w:lineRule="auto"/>
        <w:jc w:val="center"/>
      </w:pPr>
    </w:p>
    <w:p w14:paraId="32D44BB3" w14:textId="77777777" w:rsidR="002E3B61" w:rsidRDefault="002E3B61" w:rsidP="00C2196F">
      <w:pPr>
        <w:spacing w:after="0" w:line="480" w:lineRule="auto"/>
        <w:jc w:val="center"/>
      </w:pPr>
    </w:p>
    <w:p w14:paraId="5FAC09A2" w14:textId="4C3DF459" w:rsidR="00047CD4" w:rsidRDefault="00047CD4" w:rsidP="00C2196F">
      <w:pPr>
        <w:spacing w:after="0" w:line="480" w:lineRule="auto"/>
      </w:pPr>
    </w:p>
    <w:p w14:paraId="5696F55F" w14:textId="77777777" w:rsidR="00047CD4" w:rsidRDefault="00047CD4" w:rsidP="00C2196F">
      <w:pPr>
        <w:spacing w:after="0" w:line="480" w:lineRule="auto"/>
        <w:jc w:val="center"/>
      </w:pPr>
    </w:p>
    <w:p w14:paraId="0ED37427" w14:textId="65FA8396" w:rsidR="002E3B61" w:rsidRDefault="00EE4386" w:rsidP="00C2196F">
      <w:pPr>
        <w:spacing w:after="0" w:line="480" w:lineRule="auto"/>
        <w:jc w:val="center"/>
      </w:pPr>
      <w:r>
        <w:t>Disease Diagnosis</w:t>
      </w:r>
    </w:p>
    <w:p w14:paraId="59858916" w14:textId="783C60E3" w:rsidR="00047CD4" w:rsidRDefault="00EE4386" w:rsidP="00C2196F">
      <w:pPr>
        <w:spacing w:after="0" w:line="480" w:lineRule="auto"/>
        <w:jc w:val="center"/>
      </w:pPr>
      <w:r>
        <w:t>Student's Name</w:t>
      </w:r>
    </w:p>
    <w:p w14:paraId="21442699" w14:textId="51FD26B2" w:rsidR="00047CD4" w:rsidRDefault="00EE4386" w:rsidP="00C2196F">
      <w:pPr>
        <w:spacing w:after="0" w:line="480" w:lineRule="auto"/>
        <w:jc w:val="center"/>
      </w:pPr>
      <w:r>
        <w:t>Institution</w:t>
      </w:r>
    </w:p>
    <w:p w14:paraId="77C261C3" w14:textId="18C6DB80" w:rsidR="00047CD4" w:rsidRDefault="00EE4386" w:rsidP="00C2196F">
      <w:pPr>
        <w:spacing w:after="0" w:line="480" w:lineRule="auto"/>
        <w:jc w:val="center"/>
      </w:pPr>
      <w:r>
        <w:t>Couse</w:t>
      </w:r>
    </w:p>
    <w:p w14:paraId="1FDF7F70" w14:textId="6BD700A1" w:rsidR="00047CD4" w:rsidRDefault="00EE4386" w:rsidP="00C2196F">
      <w:pPr>
        <w:spacing w:after="0" w:line="480" w:lineRule="auto"/>
        <w:jc w:val="center"/>
      </w:pPr>
      <w:r>
        <w:t>Date</w:t>
      </w:r>
    </w:p>
    <w:p w14:paraId="09BD2D08" w14:textId="77777777" w:rsidR="00047CD4" w:rsidRDefault="00047CD4" w:rsidP="00C2196F">
      <w:pPr>
        <w:spacing w:after="0" w:line="480" w:lineRule="auto"/>
        <w:jc w:val="center"/>
      </w:pPr>
    </w:p>
    <w:p w14:paraId="62ED9A2F" w14:textId="77777777" w:rsidR="00047CD4" w:rsidRDefault="00047CD4" w:rsidP="00C2196F">
      <w:pPr>
        <w:spacing w:after="0" w:line="480" w:lineRule="auto"/>
        <w:jc w:val="center"/>
      </w:pPr>
    </w:p>
    <w:p w14:paraId="66027854" w14:textId="77777777" w:rsidR="00047CD4" w:rsidRDefault="00047CD4" w:rsidP="00C2196F">
      <w:pPr>
        <w:spacing w:after="0" w:line="480" w:lineRule="auto"/>
        <w:jc w:val="center"/>
      </w:pPr>
    </w:p>
    <w:p w14:paraId="38E77723" w14:textId="41A5D816" w:rsidR="00654EB1" w:rsidRDefault="00654EB1" w:rsidP="00C2196F">
      <w:pPr>
        <w:spacing w:after="0" w:line="480" w:lineRule="auto"/>
      </w:pPr>
    </w:p>
    <w:p w14:paraId="47706AA5" w14:textId="77777777" w:rsidR="0036106D" w:rsidRDefault="0036106D" w:rsidP="00C2196F">
      <w:pPr>
        <w:spacing w:after="0" w:line="480" w:lineRule="auto"/>
        <w:jc w:val="center"/>
      </w:pPr>
    </w:p>
    <w:p w14:paraId="770E0B7C" w14:textId="77777777" w:rsidR="0036106D" w:rsidRDefault="0036106D" w:rsidP="00C2196F">
      <w:pPr>
        <w:spacing w:after="0" w:line="480" w:lineRule="auto"/>
        <w:jc w:val="center"/>
      </w:pPr>
    </w:p>
    <w:p w14:paraId="34CF71A1" w14:textId="77777777" w:rsidR="0036106D" w:rsidRDefault="0036106D" w:rsidP="00C2196F">
      <w:pPr>
        <w:spacing w:after="0" w:line="480" w:lineRule="auto"/>
        <w:jc w:val="center"/>
      </w:pPr>
    </w:p>
    <w:p w14:paraId="04A2CC5B" w14:textId="77777777" w:rsidR="0036106D" w:rsidRDefault="0036106D" w:rsidP="00C2196F">
      <w:pPr>
        <w:spacing w:after="0" w:line="480" w:lineRule="auto"/>
        <w:jc w:val="center"/>
      </w:pPr>
    </w:p>
    <w:p w14:paraId="255C7CCE" w14:textId="77777777" w:rsidR="00C2196F" w:rsidRDefault="00C2196F" w:rsidP="00C2196F">
      <w:pPr>
        <w:tabs>
          <w:tab w:val="left" w:pos="3705"/>
          <w:tab w:val="center" w:pos="4680"/>
        </w:tabs>
        <w:spacing w:after="0" w:line="480" w:lineRule="auto"/>
      </w:pPr>
      <w:r>
        <w:tab/>
      </w:r>
    </w:p>
    <w:p w14:paraId="7483D6D1" w14:textId="77777777" w:rsidR="00C2196F" w:rsidRDefault="00C2196F" w:rsidP="00C2196F">
      <w:pPr>
        <w:tabs>
          <w:tab w:val="left" w:pos="3705"/>
          <w:tab w:val="center" w:pos="4680"/>
        </w:tabs>
        <w:spacing w:after="0" w:line="480" w:lineRule="auto"/>
      </w:pPr>
    </w:p>
    <w:p w14:paraId="1B730A9D" w14:textId="77777777" w:rsidR="00C2196F" w:rsidRDefault="00C2196F" w:rsidP="00C2196F">
      <w:pPr>
        <w:tabs>
          <w:tab w:val="left" w:pos="3705"/>
          <w:tab w:val="center" w:pos="4680"/>
        </w:tabs>
        <w:spacing w:after="0" w:line="480" w:lineRule="auto"/>
      </w:pPr>
    </w:p>
    <w:p w14:paraId="6ACF5203" w14:textId="77777777" w:rsidR="00C2196F" w:rsidRDefault="00C2196F" w:rsidP="00C2196F">
      <w:pPr>
        <w:tabs>
          <w:tab w:val="left" w:pos="3705"/>
          <w:tab w:val="center" w:pos="4680"/>
        </w:tabs>
        <w:spacing w:after="0" w:line="480" w:lineRule="auto"/>
      </w:pPr>
    </w:p>
    <w:p w14:paraId="633324DC" w14:textId="77777777" w:rsidR="00C2196F" w:rsidRDefault="00C2196F" w:rsidP="00C2196F">
      <w:pPr>
        <w:tabs>
          <w:tab w:val="left" w:pos="3705"/>
          <w:tab w:val="center" w:pos="4680"/>
        </w:tabs>
        <w:spacing w:after="0" w:line="480" w:lineRule="auto"/>
      </w:pPr>
    </w:p>
    <w:p w14:paraId="125F9405" w14:textId="7F39B073" w:rsidR="005925DE" w:rsidRDefault="00C2196F" w:rsidP="00C2196F">
      <w:pPr>
        <w:tabs>
          <w:tab w:val="left" w:pos="3705"/>
          <w:tab w:val="center" w:pos="4680"/>
        </w:tabs>
        <w:spacing w:after="0" w:line="480" w:lineRule="auto"/>
      </w:pPr>
      <w:r>
        <w:lastRenderedPageBreak/>
        <w:tab/>
      </w:r>
      <w:r w:rsidR="00143291">
        <w:t>Disease Diagnosis</w:t>
      </w:r>
    </w:p>
    <w:p w14:paraId="0CAE13C6" w14:textId="36DC34EF" w:rsidR="00CE5B58" w:rsidRPr="00047CD4" w:rsidRDefault="00EE4386" w:rsidP="00C2196F">
      <w:pPr>
        <w:spacing w:after="0" w:line="480" w:lineRule="auto"/>
        <w:ind w:firstLine="720"/>
      </w:pPr>
      <w:r w:rsidRPr="00047CD4">
        <w:t>The patient is suffering from Hepatitis C Virus.  The reason behind the diagnosis is that the patient presents the mai</w:t>
      </w:r>
      <w:r w:rsidR="00B56DBE" w:rsidRPr="00047CD4">
        <w:t xml:space="preserve">n </w:t>
      </w:r>
      <w:r w:rsidRPr="00047CD4">
        <w:t xml:space="preserve">symptoms of </w:t>
      </w:r>
      <w:r w:rsidR="00047CD4">
        <w:t xml:space="preserve">the </w:t>
      </w:r>
      <w:r w:rsidRPr="00047CD4">
        <w:t xml:space="preserve">Hepatitis C </w:t>
      </w:r>
      <w:r w:rsidRPr="00047CD4">
        <w:t>virus.</w:t>
      </w:r>
      <w:r w:rsidR="00B56DBE" w:rsidRPr="00047CD4">
        <w:t xml:space="preserve"> </w:t>
      </w:r>
      <w:r w:rsidRPr="00047CD4">
        <w:t>They are</w:t>
      </w:r>
      <w:r w:rsidR="00B56DBE" w:rsidRPr="00047CD4">
        <w:t xml:space="preserve"> vomiting, nausea and diarrhea. </w:t>
      </w:r>
      <w:r w:rsidR="00816365" w:rsidRPr="00047CD4">
        <w:t xml:space="preserve">Also, </w:t>
      </w:r>
      <w:r w:rsidR="00047CD4">
        <w:t>the prescribed medication may be</w:t>
      </w:r>
      <w:r w:rsidR="00816365" w:rsidRPr="00047CD4">
        <w:t xml:space="preserve"> behind the tabled symptoms of vomiting, nausea</w:t>
      </w:r>
      <w:r w:rsidR="00047CD4">
        <w:t>,</w:t>
      </w:r>
      <w:r w:rsidR="00816365" w:rsidRPr="00047CD4">
        <w:t xml:space="preserve"> and diar</w:t>
      </w:r>
      <w:r w:rsidR="00047CD4">
        <w:t>rh</w:t>
      </w:r>
      <w:r w:rsidR="00816365" w:rsidRPr="00047CD4">
        <w:t>ea. The use of</w:t>
      </w:r>
      <w:r w:rsidR="001D36B1" w:rsidRPr="001D36B1">
        <w:t xml:space="preserve"> </w:t>
      </w:r>
      <w:r w:rsidR="001D36B1" w:rsidRPr="00047CD4">
        <w:t>Synthroid,</w:t>
      </w:r>
      <w:r w:rsidR="00C67CAF" w:rsidRPr="00047CD4">
        <w:t xml:space="preserve"> Nifedipine</w:t>
      </w:r>
      <w:r w:rsidR="00047CD4">
        <w:t>,</w:t>
      </w:r>
      <w:r w:rsidR="00816365" w:rsidRPr="00047CD4">
        <w:t xml:space="preserve"> and</w:t>
      </w:r>
      <w:r w:rsidR="00C67CAF" w:rsidRPr="00047CD4">
        <w:t xml:space="preserve"> prednison</w:t>
      </w:r>
      <w:r w:rsidR="00816365" w:rsidRPr="00047CD4">
        <w:t>e has been known to cause such side effects</w:t>
      </w:r>
      <w:r w:rsidR="004C3C83" w:rsidRPr="00047CD4">
        <w:t xml:space="preserve"> (Zhu et al., 2020)</w:t>
      </w:r>
      <w:r w:rsidR="00816365" w:rsidRPr="00047CD4">
        <w:t>.  Due to drug interactions or the hypersens</w:t>
      </w:r>
      <w:r w:rsidR="00047CD4">
        <w:t>it</w:t>
      </w:r>
      <w:r w:rsidR="00816365" w:rsidRPr="00047CD4">
        <w:t>ivity of HL.</w:t>
      </w:r>
      <w:r w:rsidR="00A54FC3" w:rsidRPr="00047CD4">
        <w:t xml:space="preserve"> Also, the medical history indicates that HL abuses drugs. Considering that Hepatitis C Virus is transmitted via contact with contaminated fluids/blood, HL must have contracted the Virus via sharing of drug syringes.</w:t>
      </w:r>
      <w:r w:rsidR="00386AA7" w:rsidRPr="00047CD4">
        <w:t xml:space="preserve"> On the same, HL could be experiencing vomiting and nausea due to drug withdrawal. </w:t>
      </w:r>
      <w:r w:rsidR="00143016">
        <w:t>It is crucial to note that withdrawal from any substance is accompanied by certain effects (Cangemi &amp; Kuo, 2019</w:t>
      </w:r>
      <w:r w:rsidR="00143016" w:rsidRPr="00047CD4">
        <w:t>)</w:t>
      </w:r>
      <w:r w:rsidR="00143016">
        <w:t xml:space="preserve">. </w:t>
      </w:r>
      <w:r w:rsidR="00386AA7" w:rsidRPr="00047CD4">
        <w:t>On this note, it is necessary to ascertain the type of drug that HL is withdrawing from.</w:t>
      </w:r>
      <w:r w:rsidR="00816365" w:rsidRPr="00047CD4">
        <w:t xml:space="preserve"> Another possibility is that HL might be suffering from </w:t>
      </w:r>
      <w:r w:rsidRPr="00047CD4">
        <w:t>gastrointestinal disorders that showcase the same symptoms</w:t>
      </w:r>
      <w:r w:rsidR="001D36B1">
        <w:t>.</w:t>
      </w:r>
      <w:r w:rsidRPr="00047CD4">
        <w:t xml:space="preserve"> </w:t>
      </w:r>
      <w:r w:rsidR="005537FA" w:rsidRPr="00047CD4">
        <w:t xml:space="preserve"> </w:t>
      </w:r>
    </w:p>
    <w:p w14:paraId="526FCBB4" w14:textId="32CB7647" w:rsidR="00F85E0E" w:rsidRPr="00047CD4" w:rsidRDefault="00EE4386" w:rsidP="00C2196F">
      <w:pPr>
        <w:spacing w:after="0" w:line="480" w:lineRule="auto"/>
        <w:ind w:firstLine="720"/>
      </w:pPr>
      <w:r w:rsidRPr="00047CD4">
        <w:t>My rational</w:t>
      </w:r>
      <w:r w:rsidR="00047CD4">
        <w:t>e</w:t>
      </w:r>
      <w:r w:rsidRPr="00047CD4">
        <w:t xml:space="preserve"> is that HL is suffering from </w:t>
      </w:r>
      <w:r w:rsidR="00047CD4">
        <w:t xml:space="preserve">the </w:t>
      </w:r>
      <w:r w:rsidRPr="00047CD4">
        <w:t>H</w:t>
      </w:r>
      <w:r w:rsidR="005537FA" w:rsidRPr="00047CD4">
        <w:t>epatitis C</w:t>
      </w:r>
      <w:r w:rsidRPr="00047CD4">
        <w:t xml:space="preserve"> Virus</w:t>
      </w:r>
      <w:r w:rsidR="00047CD4">
        <w:t>,</w:t>
      </w:r>
      <w:r w:rsidRPr="00047CD4">
        <w:t xml:space="preserve"> which is also the possible cause of vomiting and nausea</w:t>
      </w:r>
      <w:r w:rsidR="00816365" w:rsidRPr="00047CD4">
        <w:t>.</w:t>
      </w:r>
      <w:r w:rsidR="00D81B70" w:rsidRPr="00047CD4">
        <w:t xml:space="preserve"> </w:t>
      </w:r>
      <w:r w:rsidR="00982701" w:rsidRPr="00047CD4">
        <w:t>The heavy daily dosage indicates that HL has suffered for a longer duration and that the disease is in its advanced state.</w:t>
      </w:r>
      <w:r w:rsidR="00816365" w:rsidRPr="00047CD4">
        <w:t xml:space="preserve"> HL uses prednisone 10mg, Nifedipine 30mg</w:t>
      </w:r>
      <w:r w:rsidR="00047CD4">
        <w:t>,</w:t>
      </w:r>
      <w:r w:rsidR="00816365" w:rsidRPr="00047CD4">
        <w:t xml:space="preserve"> and Synthroid 100 mg </w:t>
      </w:r>
      <w:r w:rsidR="00047CD4">
        <w:t>daily</w:t>
      </w:r>
      <w:r w:rsidR="00816365" w:rsidRPr="00047CD4">
        <w:t>.</w:t>
      </w:r>
      <w:r w:rsidRPr="00047CD4">
        <w:t xml:space="preserve"> </w:t>
      </w:r>
      <w:r w:rsidR="00047CD4">
        <w:t>An immediate medication plan should follow the conclusion of the condition interpretatio</w:t>
      </w:r>
      <w:r w:rsidR="00386AA7" w:rsidRPr="00047CD4">
        <w:t xml:space="preserve">n. </w:t>
      </w:r>
      <w:r w:rsidR="00047CD4">
        <w:t>HL's best drug therapy plan</w:t>
      </w:r>
      <w:r w:rsidR="00386AA7" w:rsidRPr="00047CD4">
        <w:t xml:space="preserve"> is</w:t>
      </w:r>
      <w:r w:rsidRPr="00047CD4">
        <w:t xml:space="preserve"> incorporating </w:t>
      </w:r>
      <w:r w:rsidR="00386AA7" w:rsidRPr="00047CD4">
        <w:t>Antidiarrheal</w:t>
      </w:r>
      <w:r w:rsidRPr="00047CD4">
        <w:t xml:space="preserve"> drugs to combat </w:t>
      </w:r>
      <w:r w:rsidR="00386AA7" w:rsidRPr="00047CD4">
        <w:t>diarrhea</w:t>
      </w:r>
      <w:r w:rsidRPr="00047CD4">
        <w:t xml:space="preserve"> </w:t>
      </w:r>
      <w:r w:rsidR="00386AA7" w:rsidRPr="00047CD4">
        <w:t>and antiemetics</w:t>
      </w:r>
      <w:r w:rsidRPr="00047CD4">
        <w:t xml:space="preserve"> drugs to address vomiting</w:t>
      </w:r>
      <w:r w:rsidR="00143016">
        <w:t xml:space="preserve"> (Ghany et., 2019</w:t>
      </w:r>
      <w:r w:rsidR="00047CD4" w:rsidRPr="00047CD4">
        <w:t>)</w:t>
      </w:r>
      <w:r w:rsidRPr="00047CD4">
        <w:t>.</w:t>
      </w:r>
      <w:r w:rsidR="00386AA7" w:rsidRPr="00047CD4">
        <w:t xml:space="preserve"> If drug interaction is behind the symptoms, it will be prudent that the prescribed medication is replaced. </w:t>
      </w:r>
      <w:r w:rsidR="00982701" w:rsidRPr="00047CD4">
        <w:t xml:space="preserve">  HL can benefit from a medication plan of taking </w:t>
      </w:r>
      <w:r w:rsidRPr="00047CD4">
        <w:t>grazoprevir (100mg), elbasvir (50mg)</w:t>
      </w:r>
      <w:r w:rsidR="00047CD4">
        <w:t>,</w:t>
      </w:r>
      <w:r w:rsidRPr="00047CD4">
        <w:t xml:space="preserve"> and ribavirin. It is recommended that HL undergoes counseling on the best nutrition</w:t>
      </w:r>
      <w:r w:rsidR="00143016">
        <w:t xml:space="preserve"> (Spengler, 2018</w:t>
      </w:r>
      <w:r w:rsidR="00D81B70" w:rsidRPr="00047CD4">
        <w:t>)</w:t>
      </w:r>
      <w:r w:rsidRPr="00047CD4">
        <w:t xml:space="preserve">. This will help in treating the causal agent through the provision of hygienic food and </w:t>
      </w:r>
      <w:r w:rsidRPr="00047CD4">
        <w:lastRenderedPageBreak/>
        <w:t xml:space="preserve">clean water. Also, HL should avoid hepatotoxic drugs </w:t>
      </w:r>
      <w:r w:rsidR="00386AA7" w:rsidRPr="00047CD4">
        <w:t>and also</w:t>
      </w:r>
      <w:r w:rsidRPr="00047CD4">
        <w:t xml:space="preserve"> hydration.</w:t>
      </w:r>
      <w:r w:rsidR="00386AA7" w:rsidRPr="00047CD4">
        <w:t xml:space="preserve"> HL should also be enrolled </w:t>
      </w:r>
      <w:r w:rsidR="00047CD4">
        <w:t>i</w:t>
      </w:r>
      <w:r w:rsidR="00386AA7" w:rsidRPr="00047CD4">
        <w:t xml:space="preserve">n a rehabilitation program to help the patient gain footing and lead a healthier, </w:t>
      </w:r>
      <w:r w:rsidR="00047CD4">
        <w:t>everyday</w:t>
      </w:r>
      <w:r w:rsidR="00386AA7" w:rsidRPr="00047CD4">
        <w:t xml:space="preserve"> life.</w:t>
      </w:r>
    </w:p>
    <w:p w14:paraId="516F057A" w14:textId="77777777" w:rsidR="00047CD4" w:rsidRPr="00047CD4" w:rsidRDefault="00047CD4" w:rsidP="00C2196F">
      <w:pPr>
        <w:spacing w:after="0" w:line="480" w:lineRule="auto"/>
        <w:ind w:hanging="720"/>
      </w:pPr>
    </w:p>
    <w:p w14:paraId="7CAF21D7" w14:textId="77777777" w:rsidR="001D36B1" w:rsidRDefault="001D36B1" w:rsidP="00C2196F">
      <w:pPr>
        <w:spacing w:after="0" w:line="480" w:lineRule="auto"/>
        <w:ind w:hanging="720"/>
        <w:jc w:val="center"/>
      </w:pPr>
    </w:p>
    <w:p w14:paraId="7D5E2FED" w14:textId="77777777" w:rsidR="001D36B1" w:rsidRDefault="001D36B1" w:rsidP="00C2196F">
      <w:pPr>
        <w:spacing w:after="0" w:line="480" w:lineRule="auto"/>
        <w:ind w:hanging="720"/>
        <w:jc w:val="center"/>
      </w:pPr>
    </w:p>
    <w:p w14:paraId="396EC5DA" w14:textId="77777777" w:rsidR="001D36B1" w:rsidRDefault="001D36B1" w:rsidP="00C2196F">
      <w:pPr>
        <w:spacing w:after="0" w:line="480" w:lineRule="auto"/>
        <w:ind w:hanging="720"/>
        <w:jc w:val="center"/>
      </w:pPr>
    </w:p>
    <w:p w14:paraId="185A3673" w14:textId="77777777" w:rsidR="001D36B1" w:rsidRDefault="001D36B1" w:rsidP="00C2196F">
      <w:pPr>
        <w:spacing w:after="0" w:line="480" w:lineRule="auto"/>
        <w:ind w:hanging="720"/>
        <w:jc w:val="center"/>
      </w:pPr>
    </w:p>
    <w:p w14:paraId="6CBD7EC5" w14:textId="77777777" w:rsidR="001D36B1" w:rsidRDefault="001D36B1" w:rsidP="00C2196F">
      <w:pPr>
        <w:spacing w:after="0" w:line="480" w:lineRule="auto"/>
        <w:ind w:hanging="720"/>
        <w:jc w:val="center"/>
      </w:pPr>
    </w:p>
    <w:p w14:paraId="0F51571C" w14:textId="77777777" w:rsidR="001D36B1" w:rsidRDefault="001D36B1" w:rsidP="00C2196F">
      <w:pPr>
        <w:spacing w:after="0" w:line="480" w:lineRule="auto"/>
        <w:ind w:hanging="720"/>
        <w:jc w:val="center"/>
      </w:pPr>
    </w:p>
    <w:p w14:paraId="726A2EED" w14:textId="77777777" w:rsidR="001D36B1" w:rsidRDefault="001D36B1" w:rsidP="00C2196F">
      <w:pPr>
        <w:spacing w:after="0" w:line="480" w:lineRule="auto"/>
        <w:ind w:hanging="720"/>
        <w:jc w:val="center"/>
      </w:pPr>
    </w:p>
    <w:p w14:paraId="39EF55CB" w14:textId="77777777" w:rsidR="001D36B1" w:rsidRDefault="001D36B1" w:rsidP="00C2196F">
      <w:pPr>
        <w:spacing w:after="0" w:line="480" w:lineRule="auto"/>
        <w:ind w:hanging="720"/>
        <w:jc w:val="center"/>
      </w:pPr>
    </w:p>
    <w:p w14:paraId="7E5FAA32" w14:textId="77777777" w:rsidR="001D36B1" w:rsidRDefault="001D36B1" w:rsidP="00C2196F">
      <w:pPr>
        <w:spacing w:after="0" w:line="480" w:lineRule="auto"/>
        <w:ind w:hanging="720"/>
        <w:jc w:val="center"/>
      </w:pPr>
    </w:p>
    <w:p w14:paraId="2DA55377" w14:textId="77777777" w:rsidR="001D36B1" w:rsidRDefault="001D36B1" w:rsidP="00C2196F">
      <w:pPr>
        <w:spacing w:after="0" w:line="480" w:lineRule="auto"/>
        <w:ind w:hanging="720"/>
        <w:jc w:val="center"/>
      </w:pPr>
    </w:p>
    <w:p w14:paraId="50A6D75D" w14:textId="77777777" w:rsidR="001D36B1" w:rsidRDefault="001D36B1" w:rsidP="00C2196F">
      <w:pPr>
        <w:spacing w:after="0" w:line="480" w:lineRule="auto"/>
        <w:ind w:hanging="720"/>
        <w:jc w:val="center"/>
      </w:pPr>
    </w:p>
    <w:p w14:paraId="573BB69D" w14:textId="77777777" w:rsidR="001D36B1" w:rsidRDefault="001D36B1" w:rsidP="00C2196F">
      <w:pPr>
        <w:spacing w:after="0" w:line="480" w:lineRule="auto"/>
        <w:ind w:hanging="720"/>
        <w:jc w:val="center"/>
      </w:pPr>
    </w:p>
    <w:p w14:paraId="3CF8F11F" w14:textId="77777777" w:rsidR="001D36B1" w:rsidRDefault="001D36B1" w:rsidP="00C2196F">
      <w:pPr>
        <w:spacing w:after="0" w:line="480" w:lineRule="auto"/>
        <w:ind w:hanging="720"/>
        <w:jc w:val="center"/>
      </w:pPr>
    </w:p>
    <w:p w14:paraId="0251AB7E" w14:textId="77777777" w:rsidR="001D36B1" w:rsidRDefault="001D36B1" w:rsidP="00C2196F">
      <w:pPr>
        <w:spacing w:after="0" w:line="480" w:lineRule="auto"/>
        <w:ind w:hanging="720"/>
        <w:jc w:val="center"/>
      </w:pPr>
    </w:p>
    <w:p w14:paraId="56094413" w14:textId="77777777" w:rsidR="001D36B1" w:rsidRDefault="001D36B1" w:rsidP="00C2196F">
      <w:pPr>
        <w:spacing w:after="0" w:line="480" w:lineRule="auto"/>
        <w:ind w:hanging="720"/>
        <w:jc w:val="center"/>
      </w:pPr>
    </w:p>
    <w:p w14:paraId="63B524DA" w14:textId="77777777" w:rsidR="001D36B1" w:rsidRDefault="001D36B1" w:rsidP="00C2196F">
      <w:pPr>
        <w:spacing w:after="0" w:line="480" w:lineRule="auto"/>
        <w:ind w:hanging="720"/>
        <w:jc w:val="center"/>
      </w:pPr>
    </w:p>
    <w:p w14:paraId="1DA13A41" w14:textId="77777777" w:rsidR="001D36B1" w:rsidRDefault="001D36B1" w:rsidP="00C2196F">
      <w:pPr>
        <w:spacing w:after="0" w:line="480" w:lineRule="auto"/>
        <w:ind w:hanging="720"/>
        <w:jc w:val="center"/>
      </w:pPr>
    </w:p>
    <w:p w14:paraId="59E709B2" w14:textId="77777777" w:rsidR="001D36B1" w:rsidRDefault="001D36B1" w:rsidP="00C2196F">
      <w:pPr>
        <w:spacing w:after="0" w:line="480" w:lineRule="auto"/>
        <w:ind w:hanging="720"/>
        <w:jc w:val="center"/>
      </w:pPr>
    </w:p>
    <w:p w14:paraId="43DC9273" w14:textId="5AF1C7F6" w:rsidR="001D36B1" w:rsidRDefault="001D36B1" w:rsidP="00E341BB">
      <w:pPr>
        <w:spacing w:after="0" w:line="480" w:lineRule="auto"/>
      </w:pPr>
      <w:bookmarkStart w:id="0" w:name="_GoBack"/>
      <w:bookmarkEnd w:id="0"/>
    </w:p>
    <w:p w14:paraId="7097B7AF" w14:textId="03A74A5D" w:rsidR="00047CD4" w:rsidRPr="00047CD4" w:rsidRDefault="00EE4386" w:rsidP="00C2196F">
      <w:pPr>
        <w:spacing w:after="0" w:line="480" w:lineRule="auto"/>
        <w:ind w:hanging="720"/>
        <w:jc w:val="center"/>
      </w:pPr>
      <w:r w:rsidRPr="00047CD4">
        <w:lastRenderedPageBreak/>
        <w:t>References</w:t>
      </w:r>
    </w:p>
    <w:p w14:paraId="21A70852" w14:textId="77777777" w:rsidR="00047CD4" w:rsidRPr="00047CD4" w:rsidRDefault="00EE4386" w:rsidP="00C2196F">
      <w:pPr>
        <w:spacing w:after="0" w:line="480" w:lineRule="auto"/>
        <w:ind w:left="720" w:hanging="720"/>
      </w:pPr>
      <w:r w:rsidRPr="00047CD4">
        <w:rPr>
          <w:color w:val="222222"/>
          <w:shd w:val="clear" w:color="auto" w:fill="FFFFFF"/>
        </w:rPr>
        <w:t>Cangemi, D. J., &amp; Kuo, B. (2019). Practical perspectives in the treatment of nausea and vomiting. </w:t>
      </w:r>
      <w:r w:rsidRPr="00047CD4">
        <w:rPr>
          <w:i/>
          <w:iCs/>
          <w:color w:val="222222"/>
          <w:shd w:val="clear" w:color="auto" w:fill="FFFFFF"/>
        </w:rPr>
        <w:t>Journal of clinical gastroenterology</w:t>
      </w:r>
      <w:r w:rsidRPr="00047CD4">
        <w:rPr>
          <w:color w:val="222222"/>
          <w:shd w:val="clear" w:color="auto" w:fill="FFFFFF"/>
        </w:rPr>
        <w:t>, </w:t>
      </w:r>
      <w:r w:rsidRPr="00047CD4">
        <w:rPr>
          <w:i/>
          <w:iCs/>
          <w:color w:val="222222"/>
          <w:shd w:val="clear" w:color="auto" w:fill="FFFFFF"/>
        </w:rPr>
        <w:t>53</w:t>
      </w:r>
      <w:r w:rsidRPr="00047CD4">
        <w:rPr>
          <w:color w:val="222222"/>
          <w:shd w:val="clear" w:color="auto" w:fill="FFFFFF"/>
        </w:rPr>
        <w:t>(3), 170-178.</w:t>
      </w:r>
    </w:p>
    <w:p w14:paraId="1FF6F394" w14:textId="77777777" w:rsidR="00047CD4" w:rsidRPr="00047CD4" w:rsidRDefault="00EE4386" w:rsidP="00C2196F">
      <w:pPr>
        <w:spacing w:after="0" w:line="480" w:lineRule="auto"/>
        <w:ind w:left="720" w:hanging="720"/>
      </w:pPr>
      <w:r w:rsidRPr="00047CD4">
        <w:rPr>
          <w:color w:val="222222"/>
          <w:shd w:val="clear" w:color="auto" w:fill="FFFFFF"/>
        </w:rPr>
        <w:t xml:space="preserve">Ghany, M. G., Morgan, </w:t>
      </w:r>
      <w:r w:rsidRPr="00047CD4">
        <w:rPr>
          <w:color w:val="222222"/>
          <w:shd w:val="clear" w:color="auto" w:fill="FFFFFF"/>
        </w:rPr>
        <w:t>T. R., &amp; AASLD‐IDSA Hepatitis C Guidance Panel. (2020). Hepatitis C guidance 2019 update: American Association for the Study of Liver Diseases–Infectious Diseases Society of America recommendations for testing, managing, and treating hepatitis C virus infe</w:t>
      </w:r>
      <w:r w:rsidRPr="00047CD4">
        <w:rPr>
          <w:color w:val="222222"/>
          <w:shd w:val="clear" w:color="auto" w:fill="FFFFFF"/>
        </w:rPr>
        <w:t>ction. </w:t>
      </w:r>
      <w:r w:rsidRPr="00047CD4">
        <w:rPr>
          <w:i/>
          <w:iCs/>
          <w:color w:val="222222"/>
          <w:shd w:val="clear" w:color="auto" w:fill="FFFFFF"/>
        </w:rPr>
        <w:t>Hepatology</w:t>
      </w:r>
      <w:r w:rsidRPr="00047CD4">
        <w:rPr>
          <w:color w:val="222222"/>
          <w:shd w:val="clear" w:color="auto" w:fill="FFFFFF"/>
        </w:rPr>
        <w:t>, </w:t>
      </w:r>
      <w:r w:rsidRPr="00047CD4">
        <w:rPr>
          <w:i/>
          <w:iCs/>
          <w:color w:val="222222"/>
          <w:shd w:val="clear" w:color="auto" w:fill="FFFFFF"/>
        </w:rPr>
        <w:t>71</w:t>
      </w:r>
      <w:r w:rsidRPr="00047CD4">
        <w:rPr>
          <w:color w:val="222222"/>
          <w:shd w:val="clear" w:color="auto" w:fill="FFFFFF"/>
        </w:rPr>
        <w:t>(2), 686-721.</w:t>
      </w:r>
    </w:p>
    <w:p w14:paraId="5FEB3AAC" w14:textId="77777777" w:rsidR="00047CD4" w:rsidRPr="00047CD4" w:rsidRDefault="00EE4386" w:rsidP="00C2196F">
      <w:pPr>
        <w:spacing w:after="0" w:line="480" w:lineRule="auto"/>
        <w:ind w:left="720" w:hanging="720"/>
      </w:pPr>
      <w:r w:rsidRPr="00047CD4">
        <w:rPr>
          <w:color w:val="222222"/>
          <w:shd w:val="clear" w:color="auto" w:fill="FFFFFF"/>
        </w:rPr>
        <w:t>Spengler, U. (2018). Direct antiviral agents (DAAs)-A new age in the treatment of hepatitis C virus infection. </w:t>
      </w:r>
      <w:r w:rsidRPr="00047CD4">
        <w:rPr>
          <w:i/>
          <w:iCs/>
          <w:color w:val="222222"/>
          <w:shd w:val="clear" w:color="auto" w:fill="FFFFFF"/>
        </w:rPr>
        <w:t>Pharmacology &amp; therapeutics</w:t>
      </w:r>
      <w:r w:rsidRPr="00047CD4">
        <w:rPr>
          <w:color w:val="222222"/>
          <w:shd w:val="clear" w:color="auto" w:fill="FFFFFF"/>
        </w:rPr>
        <w:t>, </w:t>
      </w:r>
      <w:r w:rsidRPr="00047CD4">
        <w:rPr>
          <w:i/>
          <w:iCs/>
          <w:color w:val="222222"/>
          <w:shd w:val="clear" w:color="auto" w:fill="FFFFFF"/>
        </w:rPr>
        <w:t>183</w:t>
      </w:r>
      <w:r w:rsidRPr="00047CD4">
        <w:rPr>
          <w:color w:val="222222"/>
          <w:shd w:val="clear" w:color="auto" w:fill="FFFFFF"/>
        </w:rPr>
        <w:t>, 118-126.</w:t>
      </w:r>
    </w:p>
    <w:p w14:paraId="5E36C461" w14:textId="6054649A" w:rsidR="00047CD4" w:rsidRPr="00047CD4" w:rsidRDefault="00EE4386" w:rsidP="00C2196F">
      <w:pPr>
        <w:spacing w:after="0" w:line="480" w:lineRule="auto"/>
        <w:ind w:left="720" w:hanging="720"/>
      </w:pPr>
      <w:r w:rsidRPr="00047CD4">
        <w:rPr>
          <w:color w:val="222222"/>
          <w:shd w:val="clear" w:color="auto" w:fill="FFFFFF"/>
        </w:rPr>
        <w:t>Zhu, Y. T., Teng, Z., Zhang, Y. F., Li, W., Guo, L. X., Liu, Y. P., ... &amp; Zhong, D. F. (2020). Effects of Apatinib on the Pharmacokinetics of Nifedipine and Warfarin in Patients with Advanced Solid Tumors. </w:t>
      </w:r>
      <w:r w:rsidRPr="00047CD4">
        <w:rPr>
          <w:i/>
          <w:iCs/>
          <w:color w:val="222222"/>
          <w:shd w:val="clear" w:color="auto" w:fill="FFFFFF"/>
        </w:rPr>
        <w:t>Drug design, development</w:t>
      </w:r>
      <w:r>
        <w:rPr>
          <w:i/>
          <w:iCs/>
          <w:color w:val="222222"/>
          <w:shd w:val="clear" w:color="auto" w:fill="FFFFFF"/>
        </w:rPr>
        <w:t>,</w:t>
      </w:r>
      <w:r w:rsidRPr="00047CD4">
        <w:rPr>
          <w:i/>
          <w:iCs/>
          <w:color w:val="222222"/>
          <w:shd w:val="clear" w:color="auto" w:fill="FFFFFF"/>
        </w:rPr>
        <w:t xml:space="preserve"> and therapy</w:t>
      </w:r>
      <w:r w:rsidRPr="00047CD4">
        <w:rPr>
          <w:color w:val="222222"/>
          <w:shd w:val="clear" w:color="auto" w:fill="FFFFFF"/>
        </w:rPr>
        <w:t>, </w:t>
      </w:r>
      <w:r w:rsidRPr="00047CD4">
        <w:rPr>
          <w:i/>
          <w:iCs/>
          <w:color w:val="222222"/>
          <w:shd w:val="clear" w:color="auto" w:fill="FFFFFF"/>
        </w:rPr>
        <w:t>14</w:t>
      </w:r>
      <w:r w:rsidRPr="00047CD4">
        <w:rPr>
          <w:color w:val="222222"/>
          <w:shd w:val="clear" w:color="auto" w:fill="FFFFFF"/>
        </w:rPr>
        <w:t>, 1963.</w:t>
      </w:r>
    </w:p>
    <w:sectPr w:rsidR="00047CD4" w:rsidRPr="00047C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E2933" w14:textId="77777777" w:rsidR="00EE4386" w:rsidRDefault="00EE4386">
      <w:pPr>
        <w:spacing w:after="0" w:line="240" w:lineRule="auto"/>
      </w:pPr>
      <w:r>
        <w:separator/>
      </w:r>
    </w:p>
  </w:endnote>
  <w:endnote w:type="continuationSeparator" w:id="0">
    <w:p w14:paraId="5DBF2864" w14:textId="77777777" w:rsidR="00EE4386" w:rsidRDefault="00EE4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D8A9A" w14:textId="77777777" w:rsidR="00EE4386" w:rsidRDefault="00EE4386">
      <w:pPr>
        <w:spacing w:after="0" w:line="240" w:lineRule="auto"/>
      </w:pPr>
      <w:r>
        <w:separator/>
      </w:r>
    </w:p>
  </w:footnote>
  <w:footnote w:type="continuationSeparator" w:id="0">
    <w:p w14:paraId="273529A4" w14:textId="77777777" w:rsidR="00EE4386" w:rsidRDefault="00EE4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357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03A117" w14:textId="4284633A" w:rsidR="002E3B61" w:rsidRDefault="00EE43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8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59AEC2" w14:textId="77777777" w:rsidR="002E3B61" w:rsidRDefault="002E3B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NDI3tjAztDA0M7dU0lEKTi0uzszPAykwrAUArIHBUywAAAA="/>
  </w:docVars>
  <w:rsids>
    <w:rsidRoot w:val="002E3B61"/>
    <w:rsid w:val="00047CD4"/>
    <w:rsid w:val="00143016"/>
    <w:rsid w:val="00143291"/>
    <w:rsid w:val="001D36B1"/>
    <w:rsid w:val="001E6103"/>
    <w:rsid w:val="00276312"/>
    <w:rsid w:val="002E3B61"/>
    <w:rsid w:val="0036106D"/>
    <w:rsid w:val="00386AA7"/>
    <w:rsid w:val="004C3C83"/>
    <w:rsid w:val="0051192E"/>
    <w:rsid w:val="005537FA"/>
    <w:rsid w:val="005925DE"/>
    <w:rsid w:val="00592C5D"/>
    <w:rsid w:val="00654EB1"/>
    <w:rsid w:val="00816365"/>
    <w:rsid w:val="008710D7"/>
    <w:rsid w:val="00982701"/>
    <w:rsid w:val="00A472BC"/>
    <w:rsid w:val="00A54FC3"/>
    <w:rsid w:val="00B26267"/>
    <w:rsid w:val="00B56DBE"/>
    <w:rsid w:val="00B810C2"/>
    <w:rsid w:val="00C2196F"/>
    <w:rsid w:val="00C67CAF"/>
    <w:rsid w:val="00CE5B58"/>
    <w:rsid w:val="00D81855"/>
    <w:rsid w:val="00D81B70"/>
    <w:rsid w:val="00E341BB"/>
    <w:rsid w:val="00EE4386"/>
    <w:rsid w:val="00F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8932"/>
  <w15:chartTrackingRefBased/>
  <w15:docId w15:val="{956957D8-26FA-4A68-ADAE-E7B2F343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B61"/>
  </w:style>
  <w:style w:type="paragraph" w:styleId="Footer">
    <w:name w:val="footer"/>
    <w:basedOn w:val="Normal"/>
    <w:link w:val="FooterChar"/>
    <w:uiPriority w:val="99"/>
    <w:unhideWhenUsed/>
    <w:rsid w:val="002E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2021-03-26T09:50:00Z</dcterms:created>
  <dcterms:modified xsi:type="dcterms:W3CDTF">2021-03-26T09:50:00Z</dcterms:modified>
</cp:coreProperties>
</file>